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D7C2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61F1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761F12">
      <w:pPr>
        <w:rPr>
          <w:sz w:val="24"/>
        </w:rPr>
      </w:pPr>
      <w:r>
        <w:rPr>
          <w:sz w:val="24"/>
        </w:rPr>
        <w:t xml:space="preserve">En mi test anterior descubrí que soy bueno en casi todo especialmente en lógico matemático e inteligencia interpersonal y es justo lo que me salió en este test. 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9463E"/>
    <w:rsid w:val="005C2C5C"/>
    <w:rsid w:val="00761F12"/>
    <w:rsid w:val="007D7C2F"/>
    <w:rsid w:val="007E7067"/>
    <w:rsid w:val="00834A47"/>
    <w:rsid w:val="009C317F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SERVIDORAIP1</dc:creator>
  <cp:lastModifiedBy>AIP1</cp:lastModifiedBy>
  <cp:revision>2</cp:revision>
  <dcterms:created xsi:type="dcterms:W3CDTF">2012-11-14T21:51:00Z</dcterms:created>
  <dcterms:modified xsi:type="dcterms:W3CDTF">2012-11-14T21:51:00Z</dcterms:modified>
</cp:coreProperties>
</file>